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8DA" w:rsidRDefault="00E878DA" w:rsidP="00E878DA">
      <w:pPr>
        <w:pStyle w:val="Textebrut"/>
        <w:ind w:left="2832"/>
        <w:jc w:val="both"/>
        <w:rPr>
          <w:rFonts w:ascii="Times New Roman" w:hAnsi="Times New Roman" w:cs="Times New Roman"/>
        </w:rPr>
      </w:pPr>
      <w:r>
        <w:rPr>
          <w:rFonts w:ascii="Times New Roman" w:hAnsi="Times New Roman" w:cs="Times New Roman"/>
        </w:rPr>
        <w:t xml:space="preserve">L’égalité professionnelle a été déclarée grande cause nationale du </w:t>
      </w:r>
      <w:bookmarkStart w:id="0" w:name="_GoBack"/>
      <w:bookmarkEnd w:id="0"/>
      <w:r>
        <w:rPr>
          <w:rFonts w:ascii="Times New Roman" w:hAnsi="Times New Roman" w:cs="Times New Roman"/>
        </w:rPr>
        <w:t>quinquennat par le Président de la République.</w:t>
      </w:r>
    </w:p>
    <w:p w:rsidR="00E878DA" w:rsidRDefault="00E878DA" w:rsidP="00E878DA">
      <w:pPr>
        <w:ind w:left="2836"/>
        <w:jc w:val="both"/>
        <w:rPr>
          <w:rFonts w:ascii="Times New Roman" w:hAnsi="Times New Roman" w:cs="Times New Roman"/>
        </w:rPr>
      </w:pPr>
    </w:p>
    <w:p w:rsidR="00E878DA" w:rsidRDefault="00E878DA" w:rsidP="00E878DA">
      <w:pPr>
        <w:ind w:left="2836"/>
        <w:jc w:val="both"/>
        <w:rPr>
          <w:rFonts w:ascii="Times New Roman" w:hAnsi="Times New Roman" w:cs="Times New Roman"/>
        </w:rPr>
      </w:pPr>
      <w:r>
        <w:rPr>
          <w:rFonts w:ascii="Times New Roman" w:hAnsi="Times New Roman" w:cs="Times New Roman"/>
        </w:rPr>
        <w:t>La loi n°2018-771 relative à la liberté de choisir son avenir professionnel fixe une obligation de résultat en matière d’égalité salariale entre les femmes et les hommes en créant dès 2019 pour les entreprises de plus de 250 salariés et dès 2020 pour celles d’au moins 50 salariés, une obligation de mettre fin à tout écart de salaire non justifiée en 3 ans en consacrant si nécessaire des enveloppes de rattrapage salarial dans les entreprises concernées.</w:t>
      </w:r>
    </w:p>
    <w:p w:rsidR="00E878DA" w:rsidRDefault="00E878DA" w:rsidP="00E878DA">
      <w:pPr>
        <w:ind w:left="2836"/>
        <w:jc w:val="both"/>
        <w:rPr>
          <w:rFonts w:ascii="Times New Roman" w:hAnsi="Times New Roman" w:cs="Times New Roman"/>
        </w:rPr>
      </w:pPr>
    </w:p>
    <w:p w:rsidR="00E878DA" w:rsidRDefault="00E878DA" w:rsidP="00E878DA">
      <w:pPr>
        <w:ind w:left="2836"/>
        <w:jc w:val="both"/>
        <w:rPr>
          <w:rFonts w:ascii="Times New Roman" w:hAnsi="Times New Roman" w:cs="Times New Roman"/>
        </w:rPr>
      </w:pPr>
      <w:r>
        <w:rPr>
          <w:rFonts w:ascii="Times New Roman" w:hAnsi="Times New Roman" w:cs="Times New Roman"/>
        </w:rPr>
        <w:t>Les nouvelles obligations pour les entreprises sont les suivantes :</w:t>
      </w:r>
    </w:p>
    <w:p w:rsidR="00E878DA" w:rsidRDefault="00E878DA" w:rsidP="00E878DA">
      <w:pPr>
        <w:numPr>
          <w:ilvl w:val="0"/>
          <w:numId w:val="1"/>
        </w:numPr>
        <w:jc w:val="both"/>
        <w:rPr>
          <w:rFonts w:ascii="Times New Roman" w:hAnsi="Times New Roman" w:cs="Times New Roman"/>
        </w:rPr>
      </w:pPr>
      <w:r>
        <w:rPr>
          <w:rFonts w:ascii="Times New Roman" w:hAnsi="Times New Roman" w:cs="Times New Roman"/>
        </w:rPr>
        <w:t xml:space="preserve">Mesurer un niveau de résultat au regard d’indicateurs relatifs aux écarts de rémunération entre femmes et hommes : 5 indicateurs pour les entreprises de 250 salariés et plus, et 4 indicateurs pour les entreprises de 50 salariés et plus. </w:t>
      </w:r>
    </w:p>
    <w:p w:rsidR="00E878DA" w:rsidRDefault="00E878DA" w:rsidP="00E878DA">
      <w:pPr>
        <w:numPr>
          <w:ilvl w:val="0"/>
          <w:numId w:val="1"/>
        </w:numPr>
        <w:jc w:val="both"/>
        <w:rPr>
          <w:rFonts w:ascii="Times New Roman" w:hAnsi="Times New Roman" w:cs="Times New Roman"/>
        </w:rPr>
      </w:pPr>
      <w:r>
        <w:rPr>
          <w:rFonts w:ascii="Times New Roman" w:hAnsi="Times New Roman" w:cs="Times New Roman"/>
        </w:rPr>
        <w:t>Publication du niveau global de résultats sur leur site internet, information aux institutions représentatives du personnel (CSE) et transmission à l’inspection du travail.</w:t>
      </w:r>
    </w:p>
    <w:p w:rsidR="00E878DA" w:rsidRDefault="00E878DA" w:rsidP="00E878DA">
      <w:pPr>
        <w:numPr>
          <w:ilvl w:val="0"/>
          <w:numId w:val="1"/>
        </w:numPr>
        <w:jc w:val="both"/>
        <w:rPr>
          <w:rFonts w:ascii="Times New Roman" w:hAnsi="Times New Roman" w:cs="Times New Roman"/>
        </w:rPr>
      </w:pPr>
      <w:r>
        <w:rPr>
          <w:rFonts w:ascii="Times New Roman" w:hAnsi="Times New Roman" w:cs="Times New Roman"/>
        </w:rPr>
        <w:t>Mesures de correction en 3 ans en cas de résultat inférieur à 75 points, le cas échéant en allouant une enveloppe de rattrapage salarial. À défaut, pénalisation financière de l’entreprise par amende administrative de la DIRECCTE pouvant atteindre 1% de la masse salariale.</w:t>
      </w:r>
    </w:p>
    <w:p w:rsidR="00E878DA" w:rsidRDefault="00E878DA" w:rsidP="00E878DA">
      <w:pPr>
        <w:ind w:left="2836"/>
        <w:jc w:val="both"/>
        <w:rPr>
          <w:rFonts w:ascii="Times New Roman" w:hAnsi="Times New Roman" w:cs="Times New Roman"/>
        </w:rPr>
      </w:pPr>
    </w:p>
    <w:p w:rsidR="00E878DA" w:rsidRDefault="00E878DA" w:rsidP="00E878DA">
      <w:pPr>
        <w:ind w:left="2836"/>
        <w:jc w:val="both"/>
        <w:rPr>
          <w:rFonts w:ascii="Times New Roman" w:hAnsi="Times New Roman" w:cs="Times New Roman"/>
        </w:rPr>
      </w:pPr>
      <w:r>
        <w:rPr>
          <w:rFonts w:ascii="Times New Roman" w:hAnsi="Times New Roman" w:cs="Times New Roman"/>
        </w:rPr>
        <w:t xml:space="preserve">Calendrier :                  </w:t>
      </w:r>
    </w:p>
    <w:p w:rsidR="00E878DA" w:rsidRDefault="00E878DA" w:rsidP="00E878DA">
      <w:pPr>
        <w:ind w:left="2836"/>
        <w:jc w:val="both"/>
        <w:rPr>
          <w:rFonts w:ascii="Times New Roman" w:hAnsi="Times New Roman" w:cs="Times New Roman"/>
        </w:rPr>
      </w:pPr>
    </w:p>
    <w:tbl>
      <w:tblPr>
        <w:tblW w:w="0" w:type="auto"/>
        <w:tblInd w:w="2836" w:type="dxa"/>
        <w:tblCellMar>
          <w:left w:w="0" w:type="dxa"/>
          <w:right w:w="0" w:type="dxa"/>
        </w:tblCellMar>
        <w:tblLook w:val="04A0" w:firstRow="1" w:lastRow="0" w:firstColumn="1" w:lastColumn="0" w:noHBand="0" w:noVBand="1"/>
      </w:tblPr>
      <w:tblGrid>
        <w:gridCol w:w="1800"/>
        <w:gridCol w:w="1441"/>
        <w:gridCol w:w="1534"/>
        <w:gridCol w:w="1441"/>
      </w:tblGrid>
      <w:tr w:rsidR="00E878DA" w:rsidTr="00E878DA">
        <w:tc>
          <w:tcPr>
            <w:tcW w:w="2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78DA" w:rsidRDefault="00E878DA">
            <w:pPr>
              <w:jc w:val="both"/>
              <w:rPr>
                <w:rFonts w:ascii="Times New Roman" w:hAnsi="Times New Roman" w:cs="Times New Roman"/>
              </w:rPr>
            </w:pP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+ 1000 salariés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+ 250 salariés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+ 50 salariés</w:t>
            </w:r>
          </w:p>
        </w:tc>
      </w:tr>
      <w:tr w:rsidR="00E878DA" w:rsidTr="00E878DA">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Information-sensibilisation des entreprises par la DIRECCTE</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trimestre 2019</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2</w:t>
            </w:r>
            <w:r>
              <w:rPr>
                <w:rFonts w:ascii="Times New Roman" w:hAnsi="Times New Roman" w:cs="Times New Roman"/>
                <w:vertAlign w:val="superscript"/>
              </w:rPr>
              <w:t>ème</w:t>
            </w:r>
            <w:r>
              <w:rPr>
                <w:rFonts w:ascii="Times New Roman" w:hAnsi="Times New Roman" w:cs="Times New Roman"/>
              </w:rPr>
              <w:t xml:space="preserve"> trimestre 2019</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ème</w:t>
            </w:r>
            <w:r>
              <w:rPr>
                <w:rFonts w:ascii="Times New Roman" w:hAnsi="Times New Roman" w:cs="Times New Roman"/>
              </w:rPr>
              <w:t xml:space="preserve"> et 4</w:t>
            </w:r>
            <w:r>
              <w:rPr>
                <w:rFonts w:ascii="Times New Roman" w:hAnsi="Times New Roman" w:cs="Times New Roman"/>
                <w:vertAlign w:val="superscript"/>
              </w:rPr>
              <w:t>ème</w:t>
            </w:r>
            <w:r>
              <w:rPr>
                <w:rFonts w:ascii="Times New Roman" w:hAnsi="Times New Roman" w:cs="Times New Roman"/>
              </w:rPr>
              <w:t xml:space="preserve"> trimestre 2019</w:t>
            </w:r>
          </w:p>
        </w:tc>
      </w:tr>
      <w:tr w:rsidR="00E878DA" w:rsidTr="00E878DA">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Calcul et publication du niveau de résultat</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mars 2019</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septembre 2019</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mars 2020</w:t>
            </w:r>
          </w:p>
        </w:tc>
      </w:tr>
      <w:tr w:rsidR="00E878DA" w:rsidTr="00E878DA">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Pénalité financière</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mars 2022</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mars 2022</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E878DA" w:rsidRDefault="00E878DA">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mars 2023</w:t>
            </w:r>
          </w:p>
        </w:tc>
      </w:tr>
      <w:tr w:rsidR="00E878DA" w:rsidTr="00E878DA">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78DA" w:rsidRDefault="00E878DA">
            <w:pPr>
              <w:jc w:val="both"/>
              <w:rPr>
                <w:rFonts w:ascii="Times New Roman" w:hAnsi="Times New Roman" w:cs="Times New Roman"/>
              </w:rPr>
            </w:pPr>
          </w:p>
        </w:tc>
        <w:tc>
          <w:tcPr>
            <w:tcW w:w="2799" w:type="dxa"/>
            <w:tcBorders>
              <w:top w:val="nil"/>
              <w:left w:val="nil"/>
              <w:bottom w:val="single" w:sz="8" w:space="0" w:color="auto"/>
              <w:right w:val="single" w:sz="8" w:space="0" w:color="auto"/>
            </w:tcBorders>
            <w:tcMar>
              <w:top w:w="0" w:type="dxa"/>
              <w:left w:w="108" w:type="dxa"/>
              <w:bottom w:w="0" w:type="dxa"/>
              <w:right w:w="108" w:type="dxa"/>
            </w:tcMar>
          </w:tcPr>
          <w:p w:rsidR="00E878DA" w:rsidRDefault="00E878DA">
            <w:pPr>
              <w:jc w:val="both"/>
              <w:rPr>
                <w:rFonts w:ascii="Times New Roman" w:hAnsi="Times New Roman" w:cs="Times New Roman"/>
              </w:rPr>
            </w:pPr>
          </w:p>
        </w:tc>
        <w:tc>
          <w:tcPr>
            <w:tcW w:w="2799" w:type="dxa"/>
            <w:tcBorders>
              <w:top w:val="nil"/>
              <w:left w:val="nil"/>
              <w:bottom w:val="single" w:sz="8" w:space="0" w:color="auto"/>
              <w:right w:val="single" w:sz="8" w:space="0" w:color="auto"/>
            </w:tcBorders>
            <w:tcMar>
              <w:top w:w="0" w:type="dxa"/>
              <w:left w:w="108" w:type="dxa"/>
              <w:bottom w:w="0" w:type="dxa"/>
              <w:right w:w="108" w:type="dxa"/>
            </w:tcMar>
          </w:tcPr>
          <w:p w:rsidR="00E878DA" w:rsidRDefault="00E878DA">
            <w:pPr>
              <w:jc w:val="both"/>
              <w:rPr>
                <w:rFonts w:ascii="Times New Roman" w:hAnsi="Times New Roman" w:cs="Times New Roman"/>
              </w:rPr>
            </w:pPr>
          </w:p>
        </w:tc>
        <w:tc>
          <w:tcPr>
            <w:tcW w:w="2799" w:type="dxa"/>
            <w:tcBorders>
              <w:top w:val="nil"/>
              <w:left w:val="nil"/>
              <w:bottom w:val="single" w:sz="8" w:space="0" w:color="auto"/>
              <w:right w:val="single" w:sz="8" w:space="0" w:color="auto"/>
            </w:tcBorders>
            <w:tcMar>
              <w:top w:w="0" w:type="dxa"/>
              <w:left w:w="108" w:type="dxa"/>
              <w:bottom w:w="0" w:type="dxa"/>
              <w:right w:w="108" w:type="dxa"/>
            </w:tcMar>
          </w:tcPr>
          <w:p w:rsidR="00E878DA" w:rsidRDefault="00E878DA">
            <w:pPr>
              <w:jc w:val="both"/>
              <w:rPr>
                <w:rFonts w:ascii="Times New Roman" w:hAnsi="Times New Roman" w:cs="Times New Roman"/>
              </w:rPr>
            </w:pPr>
          </w:p>
        </w:tc>
      </w:tr>
    </w:tbl>
    <w:p w:rsidR="00E878DA" w:rsidRDefault="00E878DA" w:rsidP="00E878DA">
      <w:pPr>
        <w:ind w:left="2836"/>
        <w:jc w:val="both"/>
        <w:rPr>
          <w:rFonts w:ascii="Times New Roman" w:hAnsi="Times New Roman" w:cs="Times New Roman"/>
        </w:rPr>
      </w:pPr>
    </w:p>
    <w:p w:rsidR="00E878DA" w:rsidRDefault="00E878DA" w:rsidP="00E878DA">
      <w:pPr>
        <w:ind w:left="2836"/>
        <w:jc w:val="both"/>
        <w:rPr>
          <w:rFonts w:ascii="Times New Roman" w:hAnsi="Times New Roman" w:cs="Times New Roman"/>
        </w:rPr>
      </w:pPr>
    </w:p>
    <w:p w:rsidR="00E878DA" w:rsidRDefault="00E878DA" w:rsidP="00E878DA">
      <w:pPr>
        <w:ind w:left="2836"/>
        <w:jc w:val="both"/>
        <w:rPr>
          <w:rFonts w:ascii="Times New Roman" w:hAnsi="Times New Roman" w:cs="Times New Roman"/>
        </w:rPr>
      </w:pPr>
      <w:r>
        <w:rPr>
          <w:rFonts w:ascii="Times New Roman" w:hAnsi="Times New Roman" w:cs="Times New Roman"/>
        </w:rPr>
        <w:t xml:space="preserve">Le ministère du travail mettra prochainement à disposition sur son site </w:t>
      </w:r>
      <w:proofErr w:type="gramStart"/>
      <w:r>
        <w:rPr>
          <w:rFonts w:ascii="Times New Roman" w:hAnsi="Times New Roman" w:cs="Times New Roman"/>
        </w:rPr>
        <w:t>un</w:t>
      </w:r>
      <w:proofErr w:type="gramEnd"/>
      <w:r>
        <w:rPr>
          <w:rFonts w:ascii="Times New Roman" w:hAnsi="Times New Roman" w:cs="Times New Roman"/>
        </w:rPr>
        <w:t xml:space="preserve"> guide « pas à pas » ainsi que des fichiers tableurs avec les règles de calcul :</w:t>
      </w:r>
    </w:p>
    <w:p w:rsidR="00E878DA" w:rsidRDefault="00E878DA" w:rsidP="00E878DA">
      <w:pPr>
        <w:ind w:left="2836"/>
        <w:jc w:val="both"/>
        <w:rPr>
          <w:rFonts w:ascii="Times New Roman" w:hAnsi="Times New Roman" w:cs="Times New Roman"/>
        </w:rPr>
      </w:pPr>
      <w:hyperlink r:id="rId5" w:history="1">
        <w:r>
          <w:rPr>
            <w:rStyle w:val="Lienhypertexte"/>
            <w:rFonts w:ascii="Times New Roman" w:hAnsi="Times New Roman" w:cs="Times New Roman"/>
            <w:color w:val="0000FF"/>
          </w:rPr>
          <w:t>https://travail-emploi.gouv.fr/actualites/l-actualite-du-ministere/article/publication-du-decret-index-de-l-egalite-femmes-hommes</w:t>
        </w:r>
      </w:hyperlink>
      <w:r>
        <w:rPr>
          <w:rFonts w:ascii="Times New Roman" w:hAnsi="Times New Roman" w:cs="Times New Roman"/>
        </w:rPr>
        <w:t xml:space="preserve"> </w:t>
      </w:r>
    </w:p>
    <w:p w:rsidR="007F59D0" w:rsidRDefault="007F59D0"/>
    <w:sectPr w:rsidR="007F5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F7EEC"/>
    <w:multiLevelType w:val="hybridMultilevel"/>
    <w:tmpl w:val="FDF08808"/>
    <w:lvl w:ilvl="0" w:tplc="1A9E784A">
      <w:start w:val="1"/>
      <w:numFmt w:val="bullet"/>
      <w:lvlText w:val="-"/>
      <w:lvlJc w:val="left"/>
      <w:pPr>
        <w:ind w:left="3196" w:hanging="360"/>
      </w:pPr>
      <w:rPr>
        <w:rFonts w:ascii="Times New Roman" w:eastAsia="Calibri" w:hAnsi="Times New Roman" w:cs="Times New Roman" w:hint="default"/>
      </w:rPr>
    </w:lvl>
    <w:lvl w:ilvl="1" w:tplc="040C0003">
      <w:start w:val="1"/>
      <w:numFmt w:val="bullet"/>
      <w:lvlText w:val="o"/>
      <w:lvlJc w:val="left"/>
      <w:pPr>
        <w:ind w:left="3916" w:hanging="360"/>
      </w:pPr>
      <w:rPr>
        <w:rFonts w:ascii="Courier New" w:hAnsi="Courier New" w:cs="Courier New" w:hint="default"/>
      </w:rPr>
    </w:lvl>
    <w:lvl w:ilvl="2" w:tplc="040C0005">
      <w:start w:val="1"/>
      <w:numFmt w:val="bullet"/>
      <w:lvlText w:val=""/>
      <w:lvlJc w:val="left"/>
      <w:pPr>
        <w:ind w:left="4636" w:hanging="360"/>
      </w:pPr>
      <w:rPr>
        <w:rFonts w:ascii="Wingdings" w:hAnsi="Wingdings" w:hint="default"/>
      </w:rPr>
    </w:lvl>
    <w:lvl w:ilvl="3" w:tplc="040C0001">
      <w:start w:val="1"/>
      <w:numFmt w:val="bullet"/>
      <w:lvlText w:val=""/>
      <w:lvlJc w:val="left"/>
      <w:pPr>
        <w:ind w:left="5356" w:hanging="360"/>
      </w:pPr>
      <w:rPr>
        <w:rFonts w:ascii="Symbol" w:hAnsi="Symbol" w:hint="default"/>
      </w:rPr>
    </w:lvl>
    <w:lvl w:ilvl="4" w:tplc="040C0003">
      <w:start w:val="1"/>
      <w:numFmt w:val="bullet"/>
      <w:lvlText w:val="o"/>
      <w:lvlJc w:val="left"/>
      <w:pPr>
        <w:ind w:left="6076" w:hanging="360"/>
      </w:pPr>
      <w:rPr>
        <w:rFonts w:ascii="Courier New" w:hAnsi="Courier New" w:cs="Courier New" w:hint="default"/>
      </w:rPr>
    </w:lvl>
    <w:lvl w:ilvl="5" w:tplc="040C0005">
      <w:start w:val="1"/>
      <w:numFmt w:val="bullet"/>
      <w:lvlText w:val=""/>
      <w:lvlJc w:val="left"/>
      <w:pPr>
        <w:ind w:left="6796" w:hanging="360"/>
      </w:pPr>
      <w:rPr>
        <w:rFonts w:ascii="Wingdings" w:hAnsi="Wingdings" w:hint="default"/>
      </w:rPr>
    </w:lvl>
    <w:lvl w:ilvl="6" w:tplc="040C0001">
      <w:start w:val="1"/>
      <w:numFmt w:val="bullet"/>
      <w:lvlText w:val=""/>
      <w:lvlJc w:val="left"/>
      <w:pPr>
        <w:ind w:left="7516" w:hanging="360"/>
      </w:pPr>
      <w:rPr>
        <w:rFonts w:ascii="Symbol" w:hAnsi="Symbol" w:hint="default"/>
      </w:rPr>
    </w:lvl>
    <w:lvl w:ilvl="7" w:tplc="040C0003">
      <w:start w:val="1"/>
      <w:numFmt w:val="bullet"/>
      <w:lvlText w:val="o"/>
      <w:lvlJc w:val="left"/>
      <w:pPr>
        <w:ind w:left="8236" w:hanging="360"/>
      </w:pPr>
      <w:rPr>
        <w:rFonts w:ascii="Courier New" w:hAnsi="Courier New" w:cs="Courier New" w:hint="default"/>
      </w:rPr>
    </w:lvl>
    <w:lvl w:ilvl="8" w:tplc="040C0005">
      <w:start w:val="1"/>
      <w:numFmt w:val="bullet"/>
      <w:lvlText w:val=""/>
      <w:lvlJc w:val="left"/>
      <w:pPr>
        <w:ind w:left="8956"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DA"/>
    <w:rsid w:val="007F59D0"/>
    <w:rsid w:val="00E87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FF94"/>
  <w15:chartTrackingRefBased/>
  <w15:docId w15:val="{E321BBE7-2B07-4E89-84CA-2BF4302A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8DA"/>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878DA"/>
    <w:rPr>
      <w:color w:val="0563C1" w:themeColor="hyperlink"/>
      <w:u w:val="single"/>
    </w:rPr>
  </w:style>
  <w:style w:type="paragraph" w:styleId="Textebrut">
    <w:name w:val="Plain Text"/>
    <w:basedOn w:val="Normal"/>
    <w:link w:val="TextebrutCar"/>
    <w:uiPriority w:val="99"/>
    <w:semiHidden/>
    <w:unhideWhenUsed/>
    <w:rsid w:val="00E878DA"/>
    <w:rPr>
      <w:rFonts w:ascii="Consolas" w:hAnsi="Consolas"/>
      <w:sz w:val="21"/>
      <w:szCs w:val="21"/>
    </w:rPr>
  </w:style>
  <w:style w:type="character" w:customStyle="1" w:styleId="TextebrutCar">
    <w:name w:val="Texte brut Car"/>
    <w:basedOn w:val="Policepardfaut"/>
    <w:link w:val="Textebrut"/>
    <w:uiPriority w:val="99"/>
    <w:semiHidden/>
    <w:rsid w:val="00E878D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vail-emploi.gouv.fr/actualites/l-actualite-du-ministere/article/publication-du-decret-index-de-l-egalite-femmes-homm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VERNEY</dc:creator>
  <cp:keywords/>
  <dc:description/>
  <cp:lastModifiedBy>Bruno VERNEY</cp:lastModifiedBy>
  <cp:revision>1</cp:revision>
  <dcterms:created xsi:type="dcterms:W3CDTF">2019-03-01T15:30:00Z</dcterms:created>
  <dcterms:modified xsi:type="dcterms:W3CDTF">2019-03-01T15:31:00Z</dcterms:modified>
</cp:coreProperties>
</file>